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hint="eastAsia"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关于召开“全国植保</w:t>
      </w:r>
      <w:bookmarkStart w:id="2" w:name="_GoBack"/>
      <w:bookmarkEnd w:id="2"/>
      <w:r>
        <w:rPr>
          <w:rFonts w:ascii="Times New Roman" w:hAnsi="Times New Roman" w:cs="Times New Roman"/>
          <w:b/>
          <w:color w:val="FF0000"/>
          <w:sz w:val="36"/>
          <w:szCs w:val="36"/>
        </w:rPr>
        <w:t>绿色防控</w:t>
      </w:r>
      <w:r>
        <w:rPr>
          <w:rFonts w:hint="eastAsia" w:ascii="Times New Roman" w:hAnsi="Times New Roman" w:cs="Times New Roman"/>
          <w:b/>
          <w:color w:val="FF0000"/>
          <w:sz w:val="36"/>
          <w:szCs w:val="36"/>
        </w:rPr>
        <w:t>战略研讨</w:t>
      </w:r>
    </w:p>
    <w:p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暨科企对接恳谈会”的通知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523865" cy="381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我国农业有害生物灾害多发重发，严重威胁着我国农业安全生产。同时，有害生物防控实践中化学农药大量和不当使用带来了农药残留超标、环境污染、有害生物抗药性与再猖獗等一系列的负面问题，严重影响着我国农产品质量安全和农业生态环境安全。为及时扭转过分依赖化学农药的局面、提高有害生物防控的效率效果和社会环境效益，必须大力发展害虫绿色防控技术，促进传统化学防治向现代绿色防控的转变，实现有害生物可持续治理。</w:t>
      </w:r>
    </w:p>
    <w:p>
      <w:pPr>
        <w:spacing w:line="360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为贯彻落实党的十九大精神和现代农业绿色发展理念，</w:t>
      </w:r>
      <w:r>
        <w:rPr>
          <w:rFonts w:hint="eastAsia" w:ascii="Times New Roman" w:hAnsi="Times New Roman" w:cs="Times New Roman"/>
        </w:rPr>
        <w:t>建立以企业为主体、市场为导向、产学研深度融合的技术创新体系，促进科技成果转化，加快推进“转方式、调结构”的新时代国家发展战略，适应我国现代农业发展要求，</w:t>
      </w:r>
      <w:r>
        <w:rPr>
          <w:rFonts w:ascii="Times New Roman" w:hAnsi="Times New Roman" w:cs="Times New Roman"/>
        </w:rPr>
        <w:t>提高科学用药</w:t>
      </w:r>
      <w:r>
        <w:rPr>
          <w:rFonts w:hint="eastAsia" w:ascii="Times New Roman" w:hAnsi="Times New Roman" w:cs="Times New Roman"/>
        </w:rPr>
        <w:t>和害虫治理</w:t>
      </w:r>
      <w:r>
        <w:rPr>
          <w:rFonts w:ascii="Times New Roman" w:hAnsi="Times New Roman" w:cs="Times New Roman"/>
        </w:rPr>
        <w:t>水平，</w:t>
      </w:r>
      <w:bookmarkStart w:id="0" w:name="OLE_LINK3"/>
      <w:bookmarkStart w:id="1" w:name="OLE_LINK4"/>
      <w:r>
        <w:rPr>
          <w:rFonts w:ascii="Times New Roman" w:hAnsi="Times New Roman" w:cs="Times New Roman"/>
        </w:rPr>
        <w:t>提升农产品质量安全</w:t>
      </w:r>
      <w:bookmarkEnd w:id="0"/>
      <w:bookmarkEnd w:id="1"/>
      <w:r>
        <w:rPr>
          <w:rFonts w:hint="eastAsia" w:ascii="Times New Roman" w:hAnsi="Times New Roman" w:cs="Times New Roman"/>
        </w:rPr>
        <w:t>和生态环境安全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决定</w:t>
      </w:r>
      <w:r>
        <w:rPr>
          <w:rFonts w:ascii="Times New Roman" w:hAnsi="Times New Roman" w:cs="Times New Roman"/>
        </w:rPr>
        <w:t>将于201</w:t>
      </w:r>
      <w:r>
        <w:rPr>
          <w:rFonts w:hint="eastAsia"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年4月</w:t>
      </w:r>
      <w:r>
        <w:rPr>
          <w:rFonts w:hint="eastAsia"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旬举办“全国植保绿色防控</w:t>
      </w:r>
      <w:r>
        <w:rPr>
          <w:rFonts w:hint="eastAsia" w:ascii="Times New Roman" w:hAnsi="Times New Roman" w:cs="Times New Roman"/>
        </w:rPr>
        <w:t>战略研讨</w:t>
      </w:r>
      <w:r>
        <w:rPr>
          <w:rFonts w:ascii="Times New Roman" w:hAnsi="Times New Roman" w:cs="Times New Roman"/>
        </w:rPr>
        <w:t>暨科企对接恳谈会”，现将有关事项通知如下：</w:t>
      </w:r>
    </w:p>
    <w:p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一、会议主题：推进农药减量增效，促进农业绿色发展</w:t>
      </w:r>
    </w:p>
    <w:p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二、时间、地点、规模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会议时间：2018年4月1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-1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日。4月1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日全天报到，4月1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日会议，4月1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日上午观摩，4月1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日下午离会。会议时间1天半。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地点：</w:t>
      </w:r>
      <w:r>
        <w:rPr>
          <w:rFonts w:ascii="Times New Roman" w:hAnsi="Times New Roman" w:cs="Times New Roman"/>
          <w:color w:val="000000" w:themeColor="text1"/>
        </w:rPr>
        <w:t>山东</w:t>
      </w:r>
      <w:r>
        <w:rPr>
          <w:rFonts w:hint="eastAsia" w:ascii="宋体" w:hAnsi="宋体" w:eastAsia="宋体" w:cs="Times New Roman"/>
          <w:color w:val="000000" w:themeColor="text1"/>
        </w:rPr>
        <w:t>•</w:t>
      </w:r>
      <w:r>
        <w:rPr>
          <w:rFonts w:ascii="Times New Roman" w:hAnsi="Times New Roman" w:cs="Times New Roman"/>
          <w:color w:val="000000" w:themeColor="text1"/>
        </w:rPr>
        <w:t>德州</w:t>
      </w:r>
      <w:r>
        <w:rPr>
          <w:rFonts w:hint="eastAsia" w:ascii="Times New Roman" w:hAnsi="Times New Roman" w:cs="Times New Roman"/>
          <w:color w:val="000000" w:themeColor="text1"/>
        </w:rPr>
        <w:t>（凤冠假日酒店）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规模：</w:t>
      </w:r>
      <w:r>
        <w:rPr>
          <w:rFonts w:hint="eastAsia"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>0人左右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参加单位：农业主管部门、农业科研院所及高校、地方政府、植保站、农技推广部门、涉农企业、新型农业主体及农资经销商。</w:t>
      </w:r>
    </w:p>
    <w:p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三、</w:t>
      </w:r>
      <w:r>
        <w:rPr>
          <w:rFonts w:hint="eastAsia" w:ascii="Times New Roman" w:hAnsi="Times New Roman" w:cs="Times New Roman"/>
          <w:b/>
          <w:bCs/>
        </w:rPr>
        <w:t>主办、</w:t>
      </w:r>
      <w:r>
        <w:rPr>
          <w:rFonts w:ascii="Times New Roman" w:hAnsi="Times New Roman" w:cs="Times New Roman"/>
          <w:b/>
          <w:bCs/>
        </w:rPr>
        <w:t>承办和协办单位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主办</w:t>
      </w:r>
      <w:r>
        <w:rPr>
          <w:rFonts w:ascii="Times New Roman" w:hAnsi="Times New Roman" w:cs="Times New Roman"/>
        </w:rPr>
        <w:t>单位：中国农业科学院</w:t>
      </w:r>
      <w:r>
        <w:rPr>
          <w:rFonts w:hint="eastAsia" w:ascii="Times New Roman" w:hAnsi="Times New Roman" w:cs="Times New Roman"/>
        </w:rPr>
        <w:t>植物保护研究所</w:t>
      </w:r>
    </w:p>
    <w:p>
      <w:pPr>
        <w:spacing w:line="360" w:lineRule="auto"/>
        <w:ind w:firstLine="1050" w:firstLineChars="5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植物病虫害生物学国家重点实验室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承办单位：中国农业科学院</w:t>
      </w:r>
      <w:r>
        <w:rPr>
          <w:rFonts w:hint="eastAsia" w:ascii="Times New Roman" w:hAnsi="Times New Roman" w:cs="Times New Roman"/>
        </w:rPr>
        <w:t>-德州市人民政府院地合作办公室</w:t>
      </w:r>
    </w:p>
    <w:p>
      <w:pPr>
        <w:spacing w:line="360" w:lineRule="auto"/>
        <w:ind w:firstLine="1050" w:firstLineChars="5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德州市农业科学研究院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协办单位：中国植物保护学会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国家生物农药与生物防治产业技术创新战略联盟</w:t>
      </w:r>
    </w:p>
    <w:p>
      <w:pPr>
        <w:spacing w:line="360" w:lineRule="auto"/>
        <w:ind w:firstLine="1050" w:firstLineChars="5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国家天敌昆虫科技创新联盟</w:t>
      </w:r>
    </w:p>
    <w:p>
      <w:pPr>
        <w:spacing w:line="360" w:lineRule="auto"/>
        <w:ind w:firstLine="1050" w:firstLineChars="5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北京国强博源科技发展有限公司</w:t>
      </w:r>
    </w:p>
    <w:p>
      <w:pPr>
        <w:spacing w:line="360" w:lineRule="auto"/>
        <w:ind w:firstLine="1050" w:firstLineChars="5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中农问科技（北京）有限公司</w:t>
      </w:r>
    </w:p>
    <w:p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四</w:t>
      </w:r>
      <w:r>
        <w:rPr>
          <w:rFonts w:ascii="Times New Roman" w:hAnsi="Times New Roman" w:cs="Times New Roman"/>
          <w:b/>
          <w:bCs/>
        </w:rPr>
        <w:t>、会议日程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4月1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日全天报到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4月1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日上午：（1）大会开幕式；（2）特邀报告；下午：特邀报告及科企对接交流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4月1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日</w:t>
      </w:r>
      <w:r>
        <w:rPr>
          <w:rFonts w:hint="eastAsia"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午：</w:t>
      </w:r>
      <w:r>
        <w:rPr>
          <w:rFonts w:hint="eastAsia" w:ascii="Times New Roman" w:hAnsi="Times New Roman" w:cs="Times New Roman"/>
        </w:rPr>
        <w:t>现场</w:t>
      </w:r>
      <w:r>
        <w:rPr>
          <w:rFonts w:ascii="Times New Roman" w:hAnsi="Times New Roman" w:cs="Times New Roman"/>
        </w:rPr>
        <w:t>观摩</w:t>
      </w:r>
    </w:p>
    <w:p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五</w:t>
      </w:r>
      <w:r>
        <w:rPr>
          <w:rFonts w:ascii="Times New Roman" w:hAnsi="Times New Roman" w:cs="Times New Roman"/>
          <w:b/>
          <w:bCs/>
        </w:rPr>
        <w:t>、大会特邀报告</w:t>
      </w:r>
      <w:r>
        <w:rPr>
          <w:rFonts w:hint="eastAsia" w:ascii="Times New Roman" w:hAnsi="Times New Roman" w:cs="Times New Roman"/>
          <w:b/>
          <w:bCs/>
        </w:rPr>
        <w:t>及交流</w:t>
      </w:r>
      <w:r>
        <w:rPr>
          <w:rFonts w:ascii="Times New Roman" w:hAnsi="Times New Roman" w:cs="Times New Roman"/>
          <w:b/>
          <w:bCs/>
        </w:rPr>
        <w:t>（4月15日）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第一模块：特邀报告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：中国</w:t>
      </w:r>
      <w:r>
        <w:rPr>
          <w:rFonts w:hint="eastAsia" w:ascii="Times New Roman" w:hAnsi="Times New Roman" w:cs="Times New Roman"/>
        </w:rPr>
        <w:t>植保</w:t>
      </w:r>
      <w:r>
        <w:rPr>
          <w:rFonts w:ascii="Times New Roman" w:hAnsi="Times New Roman" w:cs="Times New Roman"/>
        </w:rPr>
        <w:t>绿色防控发展战略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报告人：吴孔明中国工程院院士、中国农科院副院长</w:t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  <w:lang w:eastAsia="zh-CN"/>
        </w:rPr>
        <w:t>新时代农业科企合作的新思维、新模式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</w:t>
      </w:r>
      <w:r>
        <w:rPr>
          <w:rFonts w:hint="eastAsia" w:ascii="Times New Roman" w:hAnsi="Times New Roman" w:cs="Times New Roman"/>
        </w:rPr>
        <w:t>：陈剑平</w:t>
      </w:r>
      <w:r>
        <w:rPr>
          <w:rFonts w:ascii="Times New Roman" w:hAnsi="Times New Roman" w:cs="Times New Roman"/>
        </w:rPr>
        <w:t>中国工程院院士、</w:t>
      </w:r>
      <w:r>
        <w:rPr>
          <w:rFonts w:hint="eastAsia" w:ascii="Times New Roman" w:hAnsi="Times New Roman" w:cs="Times New Roman"/>
        </w:rPr>
        <w:t>浙江省</w:t>
      </w:r>
      <w:r>
        <w:rPr>
          <w:rFonts w:ascii="Times New Roman" w:hAnsi="Times New Roman" w:cs="Times New Roman"/>
        </w:rPr>
        <w:t>农科院</w:t>
      </w:r>
      <w:r>
        <w:rPr>
          <w:rFonts w:hint="eastAsia" w:ascii="Times New Roman" w:hAnsi="Times New Roman" w:cs="Times New Roman"/>
        </w:rPr>
        <w:t>原</w:t>
      </w:r>
      <w:r>
        <w:rPr>
          <w:rFonts w:ascii="Times New Roman" w:hAnsi="Times New Roman" w:cs="Times New Roman"/>
        </w:rPr>
        <w:t>院长</w:t>
      </w:r>
    </w:p>
    <w:p>
      <w:pPr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第二模块：大会报告及绿色防控技术交流</w:t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农药产业几个问题的思考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</w:t>
      </w:r>
      <w:r>
        <w:rPr>
          <w:rFonts w:hint="eastAsia" w:ascii="Times New Roman" w:hAnsi="Times New Roman" w:cs="Times New Roman"/>
        </w:rPr>
        <w:t>刘绍仁  农业部药检所农药监督处处长</w:t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：病虫害绿色防控技术</w:t>
      </w:r>
      <w:r>
        <w:rPr>
          <w:rFonts w:hint="eastAsia" w:ascii="Times New Roman" w:hAnsi="Times New Roman" w:cs="Times New Roman"/>
        </w:rPr>
        <w:t>应用</w:t>
      </w:r>
      <w:r>
        <w:rPr>
          <w:rFonts w:ascii="Times New Roman" w:hAnsi="Times New Roman" w:cs="Times New Roman"/>
        </w:rPr>
        <w:t>现状与展望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报告人：杨普云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农业部全国农业技术推广中心病虫害防治处处长、研究员</w:t>
      </w:r>
    </w:p>
    <w:p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蔬菜害虫绿色防控技术研究进展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</w:t>
      </w:r>
      <w:r>
        <w:rPr>
          <w:rFonts w:hint="eastAsia" w:ascii="Times New Roman" w:hAnsi="Times New Roman" w:cs="Times New Roman"/>
        </w:rPr>
        <w:t>张友军  中国农业科学院蔬菜花卉研究所副所长、研究员</w:t>
      </w:r>
    </w:p>
    <w:p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：中国蛋白质生物农药发展现状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报告人：邱德文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国家生物农药与生物防治产业技术创新战略联盟理事长</w:t>
      </w:r>
    </w:p>
    <w:p>
      <w:pPr>
        <w:spacing w:line="360" w:lineRule="auto"/>
        <w:ind w:firstLine="1680" w:firstLineChars="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中国农业科学院植物保护研究所副所长、研究员</w:t>
      </w:r>
    </w:p>
    <w:p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：我国天敌昆虫产业化现状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报告人：郑礼</w:t>
      </w:r>
      <w:r>
        <w:rPr>
          <w:rFonts w:hint="eastAsia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国家天敌昆虫科技创新联盟理事长</w:t>
      </w:r>
    </w:p>
    <w:p>
      <w:pPr>
        <w:spacing w:line="360" w:lineRule="auto"/>
        <w:ind w:firstLine="1680" w:firstLineChars="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山东省农业科学院植物保护研究所研究员</w:t>
      </w:r>
    </w:p>
    <w:p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茶园病虫害绿色防控与质量安全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</w:t>
      </w:r>
      <w:r>
        <w:rPr>
          <w:rFonts w:hint="eastAsia" w:ascii="Times New Roman" w:hAnsi="Times New Roman" w:cs="Times New Roman"/>
        </w:rPr>
        <w:t>许永玉  山东农业大学植保学院副院长、教授</w:t>
      </w:r>
    </w:p>
    <w:p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我国土传病害综合防控技术集成与示范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</w:t>
      </w:r>
      <w:r>
        <w:rPr>
          <w:rFonts w:hint="eastAsia" w:ascii="Times New Roman" w:hAnsi="Times New Roman" w:cs="Times New Roman"/>
        </w:rPr>
        <w:t>曹坳程  中国农业科学院植保所研究员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9、</w:t>
      </w: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绿色植保产品的创新发展及应用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</w:t>
      </w:r>
      <w:r>
        <w:rPr>
          <w:rFonts w:hint="eastAsia" w:ascii="Times New Roman" w:hAnsi="Times New Roman" w:cs="Times New Roman"/>
        </w:rPr>
        <w:t>宋国强  北京国强博源科技发展有限公司董事长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10、</w:t>
      </w:r>
      <w:r>
        <w:rPr>
          <w:rFonts w:ascii="Times New Roman" w:hAnsi="Times New Roman" w:cs="Times New Roman"/>
        </w:rPr>
        <w:t>报告</w:t>
      </w:r>
      <w:r>
        <w:rPr>
          <w:rFonts w:hint="eastAsia" w:ascii="Times New Roman" w:hAnsi="Times New Roman" w:cs="Times New Roman"/>
        </w:rPr>
        <w:t>题目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农业绿色防控技术研发之路：自主创新+院企合作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报告人：</w:t>
      </w:r>
      <w:r>
        <w:rPr>
          <w:rFonts w:hint="eastAsia" w:ascii="Times New Roman" w:hAnsi="Times New Roman" w:cs="Times New Roman"/>
        </w:rPr>
        <w:t>苏敏    深圳百乐宝生物农业科技有限公司董事长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更多报告内容正在确认</w:t>
      </w:r>
      <w:r>
        <w:rPr>
          <w:rFonts w:ascii="Times New Roman" w:hAnsi="Times New Roman" w:cs="Times New Roman"/>
        </w:rPr>
        <w:t>……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第三模块：互动与科企对接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hint="eastAsia" w:ascii="Times New Roman" w:hAnsi="Times New Roman" w:cs="Times New Roman"/>
        </w:rPr>
        <w:t>互动环节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议题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：“百项”植保绿色防控新技术发布会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议题2：绿色防控技术研究与产业化的问题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>
        <w:rPr>
          <w:rFonts w:hint="eastAsia" w:ascii="Times New Roman" w:hAnsi="Times New Roman" w:cs="Times New Roman"/>
        </w:rPr>
        <w:t>签订科企战略合作协议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嘉宾：政府领导、农业企业负责人、技术研发和推广人员、专家学者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六</w:t>
      </w:r>
      <w:r>
        <w:rPr>
          <w:rFonts w:ascii="Times New Roman" w:hAnsi="Times New Roman" w:cs="Times New Roman"/>
          <w:b/>
          <w:bCs/>
        </w:rPr>
        <w:t>、观摩</w:t>
      </w:r>
      <w:r>
        <w:rPr>
          <w:rFonts w:hint="eastAsia" w:ascii="Times New Roman" w:hAnsi="Times New Roman" w:cs="Times New Roman"/>
          <w:b/>
          <w:bCs/>
        </w:rPr>
        <w:t>（4月15日上午）</w:t>
      </w:r>
    </w:p>
    <w:p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  <w:bCs/>
        </w:rPr>
      </w:pPr>
      <w:r>
        <w:rPr>
          <w:rFonts w:hint="eastAsia" w:ascii="Times New Roman" w:hAnsi="Times New Roman" w:cs="Times New Roman"/>
          <w:bCs/>
        </w:rPr>
        <w:t>以下两个观摩地点参会人员可以任选一个参加，统一乘车前往，请提前确认。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地点</w:t>
      </w:r>
      <w:r>
        <w:rPr>
          <w:rFonts w:hint="eastAsia" w:ascii="Times New Roman" w:hAnsi="Times New Roman" w:cs="Times New Roman"/>
          <w:b/>
        </w:rPr>
        <w:t>一</w:t>
      </w:r>
      <w:r>
        <w:rPr>
          <w:rFonts w:ascii="Times New Roman" w:hAnsi="Times New Roman" w:cs="Times New Roman"/>
          <w:b/>
        </w:rPr>
        <w:t>：</w:t>
      </w:r>
      <w:r>
        <w:rPr>
          <w:rFonts w:hint="eastAsia" w:ascii="Times New Roman" w:hAnsi="Times New Roman" w:cs="Times New Roman"/>
        </w:rPr>
        <w:t>德州</w:t>
      </w:r>
      <w:r>
        <w:rPr>
          <w:rFonts w:hint="eastAsia" w:ascii="宋体" w:hAnsi="宋体" w:eastAsia="宋体" w:cs="Times New Roman"/>
        </w:rPr>
        <w:t>•</w:t>
      </w:r>
      <w:r>
        <w:rPr>
          <w:rFonts w:hint="eastAsia" w:ascii="Times New Roman" w:hAnsi="Times New Roman" w:cs="Times New Roman"/>
        </w:rPr>
        <w:t>临邑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Cs w:val="21"/>
          <w:shd w:val="clear" w:color="auto" w:fill="FFFFFF"/>
        </w:rPr>
        <w:t>智慧农业大棚：</w:t>
      </w:r>
      <w:r>
        <w:rPr>
          <w:rFonts w:hint="eastAsia" w:ascii="Times New Roman" w:hAnsi="Times New Roman" w:cs="Times New Roman"/>
          <w:color w:val="000000" w:themeColor="text1"/>
        </w:rPr>
        <w:t>观摩设施蔬菜病虫害绿色防控技术集成与示范基地</w:t>
      </w:r>
    </w:p>
    <w:p>
      <w:pPr>
        <w:widowControl/>
        <w:spacing w:before="150" w:after="300" w:line="360" w:lineRule="auto"/>
        <w:jc w:val="left"/>
        <w:rPr>
          <w:rFonts w:asciiTheme="majorEastAsia" w:hAnsiTheme="majorEastAsia" w:eastAsiaTheme="majorEastAsia" w:cstheme="majorEastAsia"/>
          <w:color w:val="000080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Cs w:val="21"/>
          <w:shd w:val="clear" w:color="auto" w:fill="FFFFFF"/>
        </w:rPr>
        <w:t>观摩点简介：智慧农业大棚项目总投资1.7亿元，大棚占地105亩，单体占地面积在国内最大。该大棚采用全球最先进的温室配套环境自动控制系统、自动化种植管理等设备，生产过程通过智能感知、智能预警、智能决策、智能分析，实现农作物增产、增效和提升品质的目的。实现了病虫害全程绿色防控及标准化、流水线式生产绿色高效产品，是名副其实的“农业工厂”。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drawing>
          <wp:inline distT="0" distB="0" distL="114300" distR="114300">
            <wp:extent cx="2682240" cy="1764665"/>
            <wp:effectExtent l="0" t="0" r="381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4280" cy="1777365"/>
            <wp:effectExtent l="0" t="0" r="127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地点</w:t>
      </w:r>
      <w:r>
        <w:rPr>
          <w:rFonts w:hint="eastAsia" w:ascii="Times New Roman" w:hAnsi="Times New Roman" w:cs="Times New Roman"/>
          <w:b/>
        </w:rPr>
        <w:t>二</w:t>
      </w:r>
      <w:r>
        <w:rPr>
          <w:rFonts w:ascii="Times New Roman" w:hAnsi="Times New Roman" w:cs="Times New Roman"/>
          <w:b/>
        </w:rPr>
        <w:t>：</w:t>
      </w:r>
      <w:r>
        <w:rPr>
          <w:rFonts w:hint="eastAsia" w:ascii="Times New Roman" w:hAnsi="Times New Roman" w:cs="Times New Roman"/>
        </w:rPr>
        <w:t>德州</w:t>
      </w:r>
      <w:r>
        <w:rPr>
          <w:rFonts w:hint="eastAsia" w:ascii="宋体" w:hAnsi="宋体" w:eastAsia="宋体" w:cs="Times New Roman"/>
        </w:rPr>
        <w:t>•</w:t>
      </w:r>
      <w:r>
        <w:rPr>
          <w:rFonts w:hint="eastAsia" w:ascii="Times New Roman" w:hAnsi="Times New Roman" w:cs="Times New Roman"/>
        </w:rPr>
        <w:t>乐陵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乐陵市源生态农场：观摩有机生态农场及绿色防控技术应用</w:t>
      </w:r>
    </w:p>
    <w:p>
      <w:pPr>
        <w:widowControl/>
        <w:spacing w:before="150" w:line="360" w:lineRule="auto"/>
        <w:jc w:val="left"/>
        <w:rPr>
          <w:rFonts w:asciiTheme="majorEastAsia" w:hAnsiTheme="majorEastAsia" w:eastAsiaTheme="majorEastAsia" w:cstheme="majorEastAsia"/>
          <w:color w:val="000000" w:themeColor="text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Cs w:val="21"/>
          <w:shd w:val="clear" w:color="auto" w:fill="FFFFFF"/>
        </w:rPr>
        <w:t>观摩点简介：投资5000万元，占地2000亩地，2006年建成，集种植、养殖于一体的有机生态农场，已经形成有机蔬菜、水果、杂粮等多种有机食品种植板块。农场坚持使用国强“互联网+集成绿色大面积病虫害立体统防统治智能系统”作为技术支撑，以“高产、高效零污染、零农残”为目标，励志打造真正的绿色、有机、生态产业园。</w:t>
      </w:r>
    </w:p>
    <w:p>
      <w:pPr>
        <w:widowControl/>
        <w:spacing w:after="300" w:line="360" w:lineRule="auto"/>
        <w:ind w:firstLine="420" w:firstLineChars="200"/>
        <w:jc w:val="left"/>
        <w:rPr>
          <w:rFonts w:asciiTheme="majorEastAsia" w:hAnsiTheme="majorEastAsia" w:eastAsiaTheme="majorEastAsia" w:cstheme="majorEastAsia"/>
          <w:color w:val="000000" w:themeColor="text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Cs w:val="21"/>
          <w:shd w:val="clear" w:color="auto" w:fill="FFFFFF"/>
        </w:rPr>
        <w:t>公司以农场为依托，研发了高效智能捕虫器，效果显著高于常规杀虫灯。此外，结合微生物制剂、中药制剂、自主研发的粘虫板、粘虫带以及通过土壤改良技术，实现了真正的农业安全生产。获得了欧盟、美国、韩国、日本及中国的有机认证。</w:t>
      </w:r>
    </w:p>
    <w:p>
      <w:pPr>
        <w:widowControl/>
        <w:spacing w:before="150" w:after="300" w:line="360" w:lineRule="auto"/>
        <w:jc w:val="left"/>
        <w:rPr>
          <w:rFonts w:asciiTheme="majorEastAsia" w:hAnsiTheme="majorEastAsia" w:eastAsiaTheme="majorEastAsia" w:cstheme="majorEastAsia"/>
          <w:color w:val="000000" w:themeColor="text1"/>
          <w:szCs w:val="21"/>
          <w:shd w:val="clear" w:color="auto" w:fill="FFFFFF"/>
        </w:rPr>
      </w:pPr>
      <w:r>
        <w:rPr>
          <w:rFonts w:asciiTheme="majorEastAsia" w:hAnsiTheme="majorEastAsia" w:eastAsiaTheme="majorEastAsia" w:cstheme="majorEastAsia"/>
          <w:color w:val="000000" w:themeColor="text1"/>
          <w:szCs w:val="21"/>
          <w:shd w:val="clear" w:color="auto" w:fill="FFFFFF"/>
        </w:rPr>
        <w:drawing>
          <wp:inline distT="0" distB="0" distL="0" distR="0">
            <wp:extent cx="1798955" cy="1835785"/>
            <wp:effectExtent l="0" t="0" r="0" b="0"/>
            <wp:docPr id="8" name="图片 8" descr="F:\activities\植保绿色防控论坛\企业合作\国强农业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activities\植保绿色防控论坛\企业合作\国强农业\图片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342" cy="18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 w:cstheme="majorEastAsia"/>
          <w:color w:val="000000" w:themeColor="text1"/>
          <w:szCs w:val="21"/>
          <w:shd w:val="clear" w:color="auto" w:fill="FFFFFF"/>
        </w:rPr>
        <w:drawing>
          <wp:inline distT="0" distB="0" distL="0" distR="0">
            <wp:extent cx="1210310" cy="1834515"/>
            <wp:effectExtent l="0" t="0" r="8890" b="0"/>
            <wp:docPr id="9" name="图片 9" descr="F:\activities\植保绿色防控论坛\企业合作\国强农业\基地部分照片\诱杀蝼蛄成果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activities\植保绿色防控论坛\企业合作\国强农业\基地部分照片\诱杀蝼蛄成果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24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0910" cy="182816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81" cy="18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七</w:t>
      </w:r>
      <w:r>
        <w:rPr>
          <w:rFonts w:ascii="Times New Roman" w:hAnsi="Times New Roman" w:cs="Times New Roman"/>
          <w:b/>
        </w:rPr>
        <w:t>、会议</w:t>
      </w:r>
      <w:r>
        <w:rPr>
          <w:rFonts w:hint="eastAsia" w:ascii="Times New Roman" w:hAnsi="Times New Roman" w:cs="Times New Roman"/>
          <w:b/>
        </w:rPr>
        <w:t>报名合作等咨询</w:t>
      </w:r>
    </w:p>
    <w:p>
      <w:pPr>
        <w:spacing w:line="360" w:lineRule="auto"/>
        <w:ind w:firstLine="420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赵文龙（同微信）15901108458    邮箱：</w:t>
      </w:r>
      <w:r>
        <w:fldChar w:fldCharType="begin"/>
      </w:r>
      <w:r>
        <w:instrText xml:space="preserve"> HYPERLINK "mailto:lvsefk@163.com" </w:instrText>
      </w:r>
      <w:r>
        <w:fldChar w:fldCharType="separate"/>
      </w:r>
      <w:r>
        <w:rPr>
          <w:rFonts w:hint="eastAsia" w:ascii="Times New Roman" w:hAnsi="Times New Roman" w:cs="Times New Roman"/>
          <w:b/>
        </w:rPr>
        <w:t>lvsefk@163.com</w:t>
      </w:r>
      <w:r>
        <w:rPr>
          <w:rFonts w:hint="eastAsia" w:ascii="Times New Roman" w:hAnsi="Times New Roman" w:cs="Times New Roman"/>
          <w:b/>
        </w:rPr>
        <w:fldChar w:fldCharType="end"/>
      </w:r>
    </w:p>
    <w:p>
      <w:pPr>
        <w:spacing w:line="360" w:lineRule="auto"/>
        <w:ind w:firstLine="4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贺文婷 010-62810140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八、会议费用</w:t>
      </w:r>
    </w:p>
    <w:tbl>
      <w:tblPr>
        <w:tblStyle w:val="10"/>
        <w:tblW w:w="738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833"/>
        <w:gridCol w:w="4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4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类别</w:t>
            </w:r>
          </w:p>
        </w:tc>
        <w:tc>
          <w:tcPr>
            <w:tcW w:w="183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3</w:t>
            </w:r>
            <w:r>
              <w:rPr>
                <w:rFonts w:ascii="Times New Roman" w:hAnsi="Times New Roman" w:eastAsia="宋体" w:cs="Times New Roman"/>
                <w:b/>
                <w:szCs w:val="21"/>
              </w:rPr>
              <w:t>月30日前</w:t>
            </w:r>
          </w:p>
        </w:tc>
        <w:tc>
          <w:tcPr>
            <w:tcW w:w="411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3</w:t>
            </w:r>
            <w:r>
              <w:rPr>
                <w:rFonts w:ascii="Times New Roman" w:hAnsi="Times New Roman" w:eastAsia="宋体" w:cs="Times New Roman"/>
                <w:b/>
                <w:szCs w:val="21"/>
              </w:rPr>
              <w:t>月30日后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44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个人</w:t>
            </w:r>
          </w:p>
        </w:tc>
        <w:tc>
          <w:tcPr>
            <w:tcW w:w="183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1000元</w:t>
            </w:r>
          </w:p>
        </w:tc>
        <w:tc>
          <w:tcPr>
            <w:tcW w:w="411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Cs w:val="21"/>
              </w:rPr>
              <w:t>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4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团体</w:t>
            </w:r>
          </w:p>
        </w:tc>
        <w:tc>
          <w:tcPr>
            <w:tcW w:w="183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800元</w:t>
            </w:r>
          </w:p>
        </w:tc>
        <w:tc>
          <w:tcPr>
            <w:tcW w:w="411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1000元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7383" w:type="dxa"/>
            <w:gridSpan w:val="3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备注：4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人及以上享受团体报名优惠；费用含会务费、资料费、5顿正餐、观摩费用，参会者由会务组统一安排用餐，住宿费用自理。</w:t>
            </w:r>
          </w:p>
        </w:tc>
      </w:tr>
    </w:tbl>
    <w:p>
      <w:pPr>
        <w:spacing w:line="360" w:lineRule="auto"/>
        <w:rPr>
          <w:b/>
        </w:rPr>
      </w:pPr>
      <w:r>
        <w:rPr>
          <w:rFonts w:hint="eastAsia"/>
          <w:b/>
        </w:rPr>
        <w:t>九、会议报名</w:t>
      </w:r>
    </w:p>
    <w:p>
      <w:pPr>
        <w:spacing w:line="360" w:lineRule="auto"/>
        <w:ind w:firstLine="211" w:firstLineChars="100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传统方式：请</w:t>
      </w:r>
      <w:r>
        <w:rPr>
          <w:rFonts w:ascii="Times New Roman" w:hAnsi="Times New Roman" w:cs="Times New Roman"/>
          <w:b/>
        </w:rPr>
        <w:t>将</w:t>
      </w:r>
      <w:r>
        <w:rPr>
          <w:rFonts w:hint="eastAsia" w:ascii="Times New Roman" w:hAnsi="Times New Roman" w:cs="Times New Roman"/>
          <w:b/>
        </w:rPr>
        <w:t>回执（见附件1）</w:t>
      </w:r>
      <w:r>
        <w:rPr>
          <w:rFonts w:ascii="Times New Roman" w:hAnsi="Times New Roman" w:cs="Times New Roman"/>
          <w:b/>
        </w:rPr>
        <w:t>传真或发送</w:t>
      </w:r>
      <w:r>
        <w:rPr>
          <w:rFonts w:hint="eastAsia" w:ascii="Times New Roman" w:hAnsi="Times New Roman" w:cs="Times New Roman"/>
          <w:b/>
        </w:rPr>
        <w:t>至</w:t>
      </w:r>
      <w:r>
        <w:rPr>
          <w:rFonts w:ascii="Times New Roman" w:hAnsi="Times New Roman" w:cs="Times New Roman"/>
          <w:b/>
        </w:rPr>
        <w:t>以下邮箱</w:t>
      </w:r>
      <w:r>
        <w:rPr>
          <w:rFonts w:hint="eastAsia" w:ascii="Times New Roman" w:hAnsi="Times New Roman" w:cs="Times New Roman"/>
          <w:b/>
        </w:rPr>
        <w:t>并完成汇款</w:t>
      </w:r>
    </w:p>
    <w:p>
      <w:pPr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邮箱：</w:t>
      </w:r>
      <w:r>
        <w:fldChar w:fldCharType="begin"/>
      </w:r>
      <w:r>
        <w:instrText xml:space="preserve"> HYPERLINK "mailto:lvsefk@163.com" </w:instrText>
      </w:r>
      <w:r>
        <w:fldChar w:fldCharType="separate"/>
      </w:r>
      <w:r>
        <w:rPr>
          <w:rFonts w:hint="eastAsia" w:ascii="Times New Roman" w:hAnsi="Times New Roman" w:cs="Times New Roman"/>
        </w:rPr>
        <w:t>lvsefk@163.com</w:t>
      </w:r>
      <w:r>
        <w:rPr>
          <w:rFonts w:hint="eastAsia" w:ascii="Times New Roman" w:hAnsi="Times New Roman" w:cs="Times New Roman"/>
        </w:rPr>
        <w:fldChar w:fldCharType="end"/>
      </w:r>
    </w:p>
    <w:p>
      <w:pPr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收款单位：</w:t>
      </w:r>
      <w:r>
        <w:rPr>
          <w:rFonts w:hint="eastAsia" w:ascii="Times New Roman" w:hAnsi="Times New Roman" w:cs="Times New Roman"/>
        </w:rPr>
        <w:t>中农问科技（北京）有限公司</w:t>
      </w:r>
    </w:p>
    <w:p>
      <w:pPr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开户行：中国农业银行北京房山支行</w:t>
      </w:r>
    </w:p>
    <w:p>
      <w:pPr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账号： 11101501040014701</w:t>
      </w:r>
    </w:p>
    <w:p>
      <w:pPr>
        <w:spacing w:line="360" w:lineRule="auto"/>
        <w:ind w:firstLine="840" w:firstLineChars="4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注：汇款请注明“绿色防控会议”</w:t>
      </w:r>
    </w:p>
    <w:p>
      <w:pPr>
        <w:spacing w:line="360" w:lineRule="auto"/>
        <w:ind w:firstLine="211" w:firstLineChars="100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新媒体方式：微信扫描下方二维码，填写信息、线上支付报名</w:t>
      </w:r>
    </w:p>
    <w:p>
      <w:pPr>
        <w:spacing w:line="360" w:lineRule="auto"/>
        <w:ind w:firstLine="211" w:firstLineChars="10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drawing>
          <wp:inline distT="0" distB="0" distL="0" distR="0">
            <wp:extent cx="1184910" cy="1184910"/>
            <wp:effectExtent l="0" t="0" r="0" b="0"/>
            <wp:docPr id="5" name="图片 5" descr="F:\activities\植保绿色防控论坛\宣传\【报名表】 全国植保绿色防控战略研讨 暨科企对接恳谈会_51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activities\植保绿色防控论坛\宣传\【报名表】 全国植保绿色防控战略研讨 暨科企对接恳谈会_512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1. 提前报名团体或个人，请于2018年3月20日前提交参会回执，回执见附件1。</w:t>
      </w:r>
    </w:p>
    <w:p>
      <w:pPr>
        <w:spacing w:line="360" w:lineRule="auto"/>
      </w:pPr>
      <w:r>
        <w:rPr>
          <w:rFonts w:hint="eastAsia"/>
        </w:rPr>
        <w:t>2. 会议不安排接站，请各位代表自行到酒店，到达酒店交通路线，见附件2。</w:t>
      </w:r>
    </w:p>
    <w:p>
      <w:pPr>
        <w:spacing w:line="360" w:lineRule="auto"/>
      </w:pPr>
      <w:r>
        <w:rPr>
          <w:rFonts w:hint="eastAsia"/>
        </w:rPr>
        <w:t>附件1—参会回执</w:t>
      </w:r>
    </w:p>
    <w:p>
      <w:pPr>
        <w:spacing w:line="360" w:lineRule="auto"/>
      </w:pPr>
      <w:r>
        <w:rPr>
          <w:rFonts w:hint="eastAsia"/>
        </w:rPr>
        <w:t>附件2—到达酒店交通路线</w:t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ind w:left="7140" w:hanging="7140" w:hangingChars="34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全国植保绿色防控</w:t>
      </w:r>
      <w:r>
        <w:rPr>
          <w:rFonts w:hint="eastAsia" w:ascii="Times New Roman" w:hAnsi="Times New Roman" w:cs="Times New Roman"/>
        </w:rPr>
        <w:t>战略研讨</w:t>
      </w:r>
      <w:r>
        <w:rPr>
          <w:rFonts w:ascii="Times New Roman" w:hAnsi="Times New Roman" w:cs="Times New Roman"/>
        </w:rPr>
        <w:t>暨科企对接恳谈会</w:t>
      </w:r>
      <w:r>
        <w:rPr>
          <w:rFonts w:hint="eastAsia" w:ascii="Times New Roman" w:hAnsi="Times New Roman" w:cs="Times New Roman"/>
        </w:rPr>
        <w:t>会务组</w:t>
      </w:r>
      <w:r>
        <w:rPr>
          <w:rFonts w:ascii="Times New Roman" w:hAnsi="Times New Roman" w:cs="Times New Roman"/>
        </w:rPr>
        <w:t>201</w:t>
      </w:r>
      <w:r>
        <w:rPr>
          <w:rFonts w:hint="eastAsia"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年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月</w:t>
      </w: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</w:p>
    <w:p>
      <w:pPr>
        <w:pStyle w:val="2"/>
        <w:rPr>
          <w:rFonts w:eastAsia="仿宋_GB2312"/>
          <w:szCs w:val="32"/>
        </w:rPr>
      </w:pPr>
      <w:r>
        <w:rPr>
          <w:rFonts w:eastAsia="仿宋_GB2312"/>
          <w:szCs w:val="32"/>
        </w:rPr>
        <w:t>附件</w:t>
      </w:r>
      <w:r>
        <w:rPr>
          <w:rFonts w:hint="eastAsia" w:eastAsia="仿宋_GB2312"/>
          <w:szCs w:val="32"/>
        </w:rPr>
        <w:t>1</w:t>
      </w:r>
      <w:r>
        <w:rPr>
          <w:rFonts w:eastAsia="仿宋_GB2312"/>
          <w:szCs w:val="32"/>
        </w:rPr>
        <w:t>：</w:t>
      </w:r>
    </w:p>
    <w:p>
      <w:pPr>
        <w:pStyle w:val="2"/>
        <w:jc w:val="center"/>
        <w:rPr>
          <w:rFonts w:eastAsia="仿宋_GB2312"/>
          <w:bCs w:val="0"/>
          <w:color w:val="000000"/>
          <w:sz w:val="28"/>
          <w:szCs w:val="28"/>
        </w:rPr>
      </w:pPr>
      <w:r>
        <w:rPr>
          <w:rFonts w:eastAsia="仿宋_GB2312"/>
          <w:bCs w:val="0"/>
          <w:color w:val="000000"/>
          <w:sz w:val="28"/>
          <w:szCs w:val="28"/>
        </w:rPr>
        <w:t>全国植保绿色防控</w:t>
      </w:r>
      <w:r>
        <w:rPr>
          <w:rFonts w:hint="eastAsia" w:eastAsia="仿宋_GB2312"/>
          <w:bCs w:val="0"/>
          <w:color w:val="000000"/>
          <w:sz w:val="28"/>
          <w:szCs w:val="28"/>
        </w:rPr>
        <w:t>战略研讨</w:t>
      </w:r>
      <w:r>
        <w:rPr>
          <w:rFonts w:eastAsia="仿宋_GB2312"/>
          <w:bCs w:val="0"/>
          <w:color w:val="000000"/>
          <w:sz w:val="28"/>
          <w:szCs w:val="28"/>
        </w:rPr>
        <w:t>暨科企对接恳谈会</w:t>
      </w:r>
      <w:r>
        <w:rPr>
          <w:rFonts w:hint="eastAsia" w:eastAsia="仿宋_GB2312"/>
          <w:bCs w:val="0"/>
          <w:color w:val="000000"/>
          <w:sz w:val="28"/>
          <w:szCs w:val="28"/>
        </w:rPr>
        <w:t>回执表</w:t>
      </w:r>
    </w:p>
    <w:tbl>
      <w:tblPr>
        <w:tblStyle w:val="10"/>
        <w:tblW w:w="1002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3"/>
        <w:gridCol w:w="800"/>
        <w:gridCol w:w="202"/>
        <w:gridCol w:w="532"/>
        <w:gridCol w:w="1795"/>
        <w:gridCol w:w="541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2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单位名称</w:t>
            </w:r>
          </w:p>
        </w:tc>
        <w:tc>
          <w:tcPr>
            <w:tcW w:w="8747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000000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020" w:type="dxa"/>
            <w:gridSpan w:val="6"/>
            <w:tcBorders>
              <w:top w:val="nil"/>
              <w:left w:val="single" w:color="auto" w:sz="6" w:space="0"/>
              <w:bottom w:val="single" w:color="auto" w:sz="6" w:space="0"/>
              <w:right w:val="single" w:color="000000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参  会代  表  信  息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127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姓名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职务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微信</w:t>
            </w:r>
          </w:p>
        </w:tc>
        <w:tc>
          <w:tcPr>
            <w:tcW w:w="17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手机</w:t>
            </w:r>
          </w:p>
        </w:tc>
        <w:tc>
          <w:tcPr>
            <w:tcW w:w="541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Email地址/微信</w:t>
            </w:r>
          </w:p>
        </w:tc>
      </w:tr>
      <w:tr>
        <w:tblPrEx>
          <w:tblLayout w:type="fixed"/>
        </w:tblPrEx>
        <w:trPr>
          <w:trHeight w:val="240" w:hRule="atLeast"/>
          <w:jc w:val="center"/>
        </w:trPr>
        <w:tc>
          <w:tcPr>
            <w:tcW w:w="127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27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27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27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27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10020" w:type="dxa"/>
            <w:gridSpan w:val="6"/>
            <w:tcBorders>
              <w:top w:val="nil"/>
              <w:left w:val="single" w:color="auto" w:sz="6" w:space="0"/>
              <w:bottom w:val="double" w:color="auto" w:sz="6" w:space="0"/>
              <w:right w:val="single" w:color="000000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合计参加人数：</w:t>
            </w:r>
            <w:r>
              <w:rPr>
                <w:kern w:val="0"/>
                <w:sz w:val="24"/>
                <w:u w:val="single"/>
              </w:rPr>
              <w:t>　　　　　 </w:t>
            </w:r>
            <w:r>
              <w:rPr>
                <w:kern w:val="0"/>
                <w:sz w:val="24"/>
              </w:rPr>
              <w:t>人；   会务费金额：</w:t>
            </w:r>
            <w:r>
              <w:rPr>
                <w:kern w:val="0"/>
                <w:sz w:val="24"/>
                <w:u w:val="single"/>
              </w:rPr>
              <w:t>         </w:t>
            </w:r>
            <w:r>
              <w:rPr>
                <w:kern w:val="0"/>
                <w:sz w:val="24"/>
              </w:rPr>
              <w:t>元。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2275" w:type="dxa"/>
            <w:gridSpan w:val="3"/>
            <w:tcBorders>
              <w:top w:val="nil"/>
              <w:left w:val="single" w:color="auto" w:sz="6" w:space="0"/>
              <w:bottom w:val="double" w:color="auto" w:sz="6" w:space="0"/>
              <w:right w:val="single" w:color="000000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是否参加观摩</w:t>
            </w:r>
          </w:p>
        </w:tc>
        <w:tc>
          <w:tcPr>
            <w:tcW w:w="7745" w:type="dxa"/>
            <w:gridSpan w:val="3"/>
            <w:tcBorders>
              <w:top w:val="nil"/>
              <w:left w:val="single" w:color="auto" w:sz="6" w:space="0"/>
              <w:bottom w:val="double" w:color="auto" w:sz="6" w:space="0"/>
              <w:right w:val="single" w:color="000000" w:sz="6" w:space="0"/>
            </w:tcBorders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□ 是      □ 否  请打√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2275" w:type="dxa"/>
            <w:gridSpan w:val="3"/>
            <w:tcBorders>
              <w:top w:val="nil"/>
              <w:left w:val="single" w:color="auto" w:sz="6" w:space="0"/>
              <w:bottom w:val="double" w:color="auto" w:sz="6" w:space="0"/>
              <w:right w:val="single" w:color="000000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观摩地点及人数</w:t>
            </w:r>
          </w:p>
        </w:tc>
        <w:tc>
          <w:tcPr>
            <w:tcW w:w="7745" w:type="dxa"/>
            <w:gridSpan w:val="3"/>
            <w:tcBorders>
              <w:top w:val="nil"/>
              <w:left w:val="single" w:color="auto" w:sz="6" w:space="0"/>
              <w:bottom w:val="double" w:color="auto" w:sz="6" w:space="0"/>
              <w:right w:val="single" w:color="000000" w:sz="6" w:space="0"/>
            </w:tcBorders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</w:rPr>
              <w:t>临邑智慧农业大棚人；乐陵市源生态农场人</w:t>
            </w:r>
          </w:p>
        </w:tc>
      </w:tr>
      <w:tr>
        <w:tblPrEx>
          <w:tblLayout w:type="fixed"/>
        </w:tblPrEx>
        <w:trPr>
          <w:trHeight w:val="230" w:hRule="atLeast"/>
          <w:jc w:val="center"/>
        </w:trPr>
        <w:tc>
          <w:tcPr>
            <w:tcW w:w="10020" w:type="dxa"/>
            <w:gridSpan w:val="6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发  票  开  具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2275" w:type="dxa"/>
            <w:gridSpan w:val="3"/>
            <w:tcBorders>
              <w:top w:val="nil"/>
              <w:left w:val="single" w:color="auto" w:sz="6" w:space="0"/>
              <w:bottom w:val="single" w:color="auto" w:sz="6" w:space="0"/>
              <w:right w:val="single" w:color="000000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是否开具发票：</w:t>
            </w:r>
          </w:p>
        </w:tc>
        <w:tc>
          <w:tcPr>
            <w:tcW w:w="7745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□ 是      □ 否  请打√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2275" w:type="dxa"/>
            <w:gridSpan w:val="3"/>
            <w:tcBorders>
              <w:top w:val="nil"/>
              <w:left w:val="single" w:color="auto" w:sz="6" w:space="0"/>
              <w:bottom w:val="single" w:color="auto" w:sz="6" w:space="0"/>
              <w:right w:val="single" w:color="000000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需开具发票类型：</w:t>
            </w:r>
          </w:p>
        </w:tc>
        <w:tc>
          <w:tcPr>
            <w:tcW w:w="7745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□ 增值税普通发票      □增值税专用发票  请打√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2275" w:type="dxa"/>
            <w:gridSpan w:val="3"/>
            <w:tcBorders>
              <w:top w:val="nil"/>
              <w:left w:val="single" w:color="auto" w:sz="6" w:space="0"/>
              <w:bottom w:val="single" w:color="auto" w:sz="6" w:space="0"/>
              <w:right w:val="single" w:color="000000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发票抬头：</w:t>
            </w:r>
          </w:p>
        </w:tc>
        <w:tc>
          <w:tcPr>
            <w:tcW w:w="7745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2275" w:type="dxa"/>
            <w:gridSpan w:val="3"/>
            <w:tcBorders>
              <w:top w:val="nil"/>
              <w:left w:val="single" w:color="auto" w:sz="6" w:space="0"/>
              <w:bottom w:val="single" w:color="auto" w:sz="6" w:space="0"/>
              <w:right w:val="single" w:color="000000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纳税人识别号：</w:t>
            </w:r>
          </w:p>
        </w:tc>
        <w:tc>
          <w:tcPr>
            <w:tcW w:w="7745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10020" w:type="dxa"/>
            <w:gridSpan w:val="6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备注：开具增值税专用发票，需如实填写附件2中详细信息</w:t>
            </w:r>
          </w:p>
        </w:tc>
      </w:tr>
    </w:tbl>
    <w:p>
      <w:pPr>
        <w:pStyle w:val="2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增值税专用发票信息</w:t>
      </w:r>
    </w:p>
    <w:tbl>
      <w:tblPr>
        <w:tblStyle w:val="10"/>
        <w:tblW w:w="1002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1"/>
        <w:gridCol w:w="802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19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单位名称：</w:t>
            </w:r>
          </w:p>
        </w:tc>
        <w:tc>
          <w:tcPr>
            <w:tcW w:w="802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Layout w:type="fixed"/>
        </w:tblPrEx>
        <w:trPr>
          <w:trHeight w:val="230" w:hRule="atLeast"/>
          <w:jc w:val="center"/>
        </w:trPr>
        <w:tc>
          <w:tcPr>
            <w:tcW w:w="1991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纳税人识别号：</w:t>
            </w:r>
          </w:p>
        </w:tc>
        <w:tc>
          <w:tcPr>
            <w:tcW w:w="802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1991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地址、电话：</w:t>
            </w:r>
          </w:p>
        </w:tc>
        <w:tc>
          <w:tcPr>
            <w:tcW w:w="802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1991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开户行、账号：</w:t>
            </w:r>
          </w:p>
        </w:tc>
        <w:tc>
          <w:tcPr>
            <w:tcW w:w="802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>
      <w:pPr>
        <w:pStyle w:val="2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酒店预留信息</w:t>
      </w:r>
    </w:p>
    <w:tbl>
      <w:tblPr>
        <w:tblStyle w:val="10"/>
        <w:tblW w:w="1002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7"/>
        <w:gridCol w:w="675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32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是否需要组委会预留房间</w:t>
            </w:r>
          </w:p>
        </w:tc>
        <w:tc>
          <w:tcPr>
            <w:tcW w:w="675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□ 是      □ 否  请打√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3267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凤冠酒店单间（398元/天）</w:t>
            </w:r>
          </w:p>
        </w:tc>
        <w:tc>
          <w:tcPr>
            <w:tcW w:w="675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预留数量：    间</w:t>
            </w:r>
          </w:p>
        </w:tc>
      </w:tr>
      <w:tr>
        <w:tblPrEx>
          <w:tblLayout w:type="fixed"/>
        </w:tblPrEx>
        <w:trPr>
          <w:trHeight w:val="230" w:hRule="atLeast"/>
          <w:jc w:val="center"/>
        </w:trPr>
        <w:tc>
          <w:tcPr>
            <w:tcW w:w="3267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凤冠酒店标准间（398元/天）</w:t>
            </w:r>
          </w:p>
        </w:tc>
        <w:tc>
          <w:tcPr>
            <w:tcW w:w="675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预留数量：    间</w:t>
            </w:r>
          </w:p>
        </w:tc>
      </w:tr>
      <w:tr>
        <w:tblPrEx>
          <w:tblLayout w:type="fixed"/>
        </w:tblPrEx>
        <w:trPr>
          <w:trHeight w:val="230" w:hRule="atLeast"/>
          <w:jc w:val="center"/>
        </w:trPr>
        <w:tc>
          <w:tcPr>
            <w:tcW w:w="32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开源酒店单间（260元/天）</w:t>
            </w:r>
          </w:p>
        </w:tc>
        <w:tc>
          <w:tcPr>
            <w:tcW w:w="675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预留数量：    间</w:t>
            </w:r>
          </w:p>
        </w:tc>
      </w:tr>
      <w:tr>
        <w:tblPrEx>
          <w:tblLayout w:type="fixed"/>
        </w:tblPrEx>
        <w:trPr>
          <w:trHeight w:val="230" w:hRule="atLeast"/>
          <w:jc w:val="center"/>
        </w:trPr>
        <w:tc>
          <w:tcPr>
            <w:tcW w:w="32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开源酒店标间（260元/天）</w:t>
            </w:r>
          </w:p>
        </w:tc>
        <w:tc>
          <w:tcPr>
            <w:tcW w:w="675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预留数量：    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  <w:jc w:val="center"/>
        </w:trPr>
        <w:tc>
          <w:tcPr>
            <w:tcW w:w="1002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备注：开源酒店距主会场500米左右；房间数量有限，请提前确认，一经确认请勿改变；</w:t>
            </w:r>
          </w:p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预留房间从4月13日开始。</w:t>
            </w:r>
          </w:p>
        </w:tc>
      </w:tr>
    </w:tbl>
    <w:p>
      <w:pPr>
        <w:pStyle w:val="2"/>
        <w:jc w:val="center"/>
      </w:pPr>
    </w:p>
    <w:p>
      <w:pPr>
        <w:spacing w:line="360" w:lineRule="auto"/>
        <w:ind w:left="7140" w:hanging="7140" w:hangingChars="3400"/>
        <w:rPr>
          <w:rFonts w:ascii="Times New Roman" w:hAnsi="Times New Roman" w:cs="Times New Roman"/>
        </w:rPr>
      </w:pPr>
    </w:p>
    <w:p>
      <w:pPr>
        <w:spacing w:line="360" w:lineRule="auto"/>
        <w:ind w:left="7140" w:hanging="7140" w:hangingChars="3400"/>
        <w:rPr>
          <w:rFonts w:ascii="Times New Roman" w:hAnsi="Times New Roman" w:cs="Times New Roman"/>
        </w:rPr>
      </w:pPr>
    </w:p>
    <w:p>
      <w:pPr>
        <w:pStyle w:val="2"/>
        <w:rPr>
          <w:rFonts w:eastAsia="仿宋_GB2312"/>
          <w:szCs w:val="32"/>
        </w:rPr>
      </w:pPr>
      <w:r>
        <w:rPr>
          <w:rFonts w:hint="eastAsia" w:eastAsia="仿宋_GB2312"/>
          <w:szCs w:val="32"/>
        </w:rPr>
        <w:t>附件2：到达酒店交通路线</w:t>
      </w:r>
    </w:p>
    <w:p>
      <w:pPr>
        <w:spacing w:line="500" w:lineRule="exact"/>
        <w:rPr>
          <w:rFonts w:ascii="黑体" w:hAnsi="黑体" w:eastAsia="黑体" w:cs="Times New Roman"/>
          <w:b/>
          <w:bCs/>
          <w:szCs w:val="21"/>
        </w:rPr>
      </w:pPr>
      <w:r>
        <w:rPr>
          <w:rFonts w:hint="eastAsia" w:ascii="黑体" w:hAnsi="黑体" w:eastAsia="黑体" w:cs="Times New Roman"/>
          <w:b/>
          <w:bCs/>
          <w:szCs w:val="21"/>
        </w:rPr>
        <w:t>德州高铁站－－德州凤冠假日酒店（全长8.7公里，打车约20元）</w:t>
      </w:r>
    </w:p>
    <w:p>
      <w:pPr>
        <w:spacing w:line="50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1、出高铁站，沿站前街一向向前行驶347米，左转进入站北路</w:t>
      </w:r>
    </w:p>
    <w:p>
      <w:pPr>
        <w:spacing w:line="500" w:lineRule="exac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2、沿站北路行驶433米，左转进入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崇德十大道</w:t>
      </w:r>
    </w:p>
    <w:p>
      <w:pPr>
        <w:spacing w:line="500" w:lineRule="exac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3、沿崇德十大道行驶402米，右转进入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尚德十一路</w:t>
      </w:r>
    </w:p>
    <w:p>
      <w:pPr>
        <w:spacing w:line="500" w:lineRule="exac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4、沿尚德十一路行驶5.2公里，右转进入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G104/东风东路</w:t>
      </w:r>
    </w:p>
    <w:p>
      <w:pPr>
        <w:spacing w:line="500" w:lineRule="exac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5、沿东风东路行驶2.2公里，左转进入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晶华大道</w:t>
      </w:r>
      <w:r>
        <w:rPr>
          <w:rFonts w:hint="eastAsia" w:ascii="Times New Roman" w:hAnsi="Times New Roman" w:eastAsia="宋体" w:cs="Times New Roman"/>
          <w:szCs w:val="21"/>
        </w:rPr>
        <w:t>，沿晶华大道行驶149米，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右转即到达凤冠假日酒店</w:t>
      </w:r>
    </w:p>
    <w:p>
      <w:pPr>
        <w:spacing w:line="500" w:lineRule="exact"/>
        <w:rPr>
          <w:rFonts w:ascii="黑体" w:hAnsi="黑体" w:eastAsia="黑体" w:cs="Times New Roman"/>
          <w:b/>
          <w:bCs/>
          <w:szCs w:val="21"/>
        </w:rPr>
      </w:pPr>
      <w:r>
        <w:rPr>
          <w:rFonts w:hint="eastAsia" w:ascii="黑体" w:hAnsi="黑体" w:eastAsia="黑体" w:cs="Times New Roman"/>
          <w:b/>
          <w:bCs/>
          <w:szCs w:val="21"/>
        </w:rPr>
        <w:t>德州收费站－－德州凤冠假日酒店（全长1.3公里）</w:t>
      </w:r>
    </w:p>
    <w:p>
      <w:pPr>
        <w:spacing w:line="50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1、从收费站出发，沿匝道行驶96米，朝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德州市区方向</w:t>
      </w:r>
      <w:r>
        <w:rPr>
          <w:rFonts w:hint="eastAsia" w:ascii="Times New Roman" w:hAnsi="Times New Roman" w:eastAsia="宋体" w:cs="Times New Roman"/>
          <w:szCs w:val="21"/>
        </w:rPr>
        <w:t>，进入G104/东风东路</w:t>
      </w:r>
    </w:p>
    <w:p>
      <w:pPr>
        <w:spacing w:line="50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2、沿东风东路行驶171米，左转进入晶华大道</w:t>
      </w:r>
    </w:p>
    <w:p>
      <w:pPr>
        <w:spacing w:line="500" w:lineRule="exac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3、沿晶华大道行驶149米，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右转到达凤冠假日酒店</w:t>
      </w:r>
    </w:p>
    <w:p>
      <w:pPr>
        <w:spacing w:line="500" w:lineRule="exact"/>
        <w:rPr>
          <w:rFonts w:ascii="黑体" w:hAnsi="黑体" w:eastAsia="黑体" w:cs="Times New Roman"/>
          <w:b/>
          <w:bCs/>
          <w:szCs w:val="21"/>
        </w:rPr>
      </w:pPr>
      <w:r>
        <w:rPr>
          <w:rFonts w:hint="eastAsia" w:ascii="黑体" w:hAnsi="黑体" w:eastAsia="黑体" w:cs="Times New Roman"/>
          <w:b/>
          <w:bCs/>
          <w:szCs w:val="21"/>
        </w:rPr>
        <w:t>济南遥墙机场－－德州凤冠假日酒店（全长120.9公里）</w:t>
      </w:r>
    </w:p>
    <w:p>
      <w:pPr>
        <w:spacing w:line="500" w:lineRule="exac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1、从起点出发，一直向前行驶487米，左转进入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空港中路</w:t>
      </w:r>
    </w:p>
    <w:p>
      <w:pPr>
        <w:spacing w:line="50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2、沿空港中路行驶141米，稍向右转进入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迎宾路</w:t>
      </w:r>
    </w:p>
    <w:p>
      <w:pPr>
        <w:spacing w:line="50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3、沿迎宾路一直向前行驶5.6公里，从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青岛/聊城/北京/石家庄/商河出口</w:t>
      </w:r>
      <w:r>
        <w:rPr>
          <w:rFonts w:hint="eastAsia" w:ascii="Times New Roman" w:hAnsi="Times New Roman" w:eastAsia="宋体" w:cs="Times New Roman"/>
          <w:szCs w:val="21"/>
        </w:rPr>
        <w:t>离开，朝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北京/石家庄/商河方向</w:t>
      </w:r>
      <w:r>
        <w:rPr>
          <w:rFonts w:hint="eastAsia" w:ascii="Times New Roman" w:hAnsi="Times New Roman" w:eastAsia="宋体" w:cs="Times New Roman"/>
          <w:szCs w:val="21"/>
        </w:rPr>
        <w:t>，进入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青银高速/京沪高速/G2/G20</w:t>
      </w:r>
    </w:p>
    <w:p>
      <w:pPr>
        <w:spacing w:line="500" w:lineRule="exac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4、沿青银高速/京沪高速/G2/G20行驶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40.4</w:t>
      </w:r>
      <w:r>
        <w:rPr>
          <w:rFonts w:hint="eastAsia" w:ascii="Times New Roman" w:hAnsi="Times New Roman" w:eastAsia="宋体" w:cs="Times New Roman"/>
          <w:szCs w:val="21"/>
        </w:rPr>
        <w:t>公里，从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德州/北京出口</w:t>
      </w:r>
      <w:r>
        <w:rPr>
          <w:rFonts w:hint="eastAsia" w:ascii="Times New Roman" w:hAnsi="Times New Roman" w:eastAsia="宋体" w:cs="Times New Roman"/>
          <w:szCs w:val="21"/>
        </w:rPr>
        <w:t>离开，进入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京台高速G2</w:t>
      </w:r>
    </w:p>
    <w:p>
      <w:pPr>
        <w:spacing w:line="50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5、沿京台高速行驶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71.1</w:t>
      </w:r>
      <w:r>
        <w:rPr>
          <w:rFonts w:hint="eastAsia" w:ascii="Times New Roman" w:hAnsi="Times New Roman" w:eastAsia="宋体" w:cs="Times New Roman"/>
          <w:szCs w:val="21"/>
        </w:rPr>
        <w:t>公里，从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德州/陵城区</w:t>
      </w:r>
      <w:r>
        <w:rPr>
          <w:rFonts w:hint="eastAsia" w:ascii="Times New Roman" w:hAnsi="Times New Roman" w:eastAsia="宋体" w:cs="Times New Roman"/>
          <w:szCs w:val="21"/>
        </w:rPr>
        <w:t>出口离开（经德州收费站），朝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德州市区</w:t>
      </w:r>
      <w:r>
        <w:rPr>
          <w:rFonts w:hint="eastAsia" w:ascii="Times New Roman" w:hAnsi="Times New Roman" w:eastAsia="宋体" w:cs="Times New Roman"/>
          <w:szCs w:val="21"/>
        </w:rPr>
        <w:t>方向，进入G104/东风东路</w:t>
      </w:r>
    </w:p>
    <w:p>
      <w:pPr>
        <w:spacing w:line="500" w:lineRule="exac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6、沿东风东路行驶171米，左转进入晶华大道；沿晶华大道行驶149米，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右转到达凤冠假日酒店</w:t>
      </w:r>
    </w:p>
    <w:p>
      <w:pPr>
        <w:tabs>
          <w:tab w:val="left" w:pos="510"/>
        </w:tabs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2844800" cy="16554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9598" cy="165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85DE7"/>
    <w:multiLevelType w:val="singleLevel"/>
    <w:tmpl w:val="59F85DE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9F85E03"/>
    <w:multiLevelType w:val="singleLevel"/>
    <w:tmpl w:val="59F85E0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9F85E46"/>
    <w:multiLevelType w:val="singleLevel"/>
    <w:tmpl w:val="59F85E46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8732B"/>
    <w:rsid w:val="00004112"/>
    <w:rsid w:val="00012BDE"/>
    <w:rsid w:val="000230DC"/>
    <w:rsid w:val="00037AE2"/>
    <w:rsid w:val="00055EF7"/>
    <w:rsid w:val="00062055"/>
    <w:rsid w:val="000630C6"/>
    <w:rsid w:val="00070512"/>
    <w:rsid w:val="00082418"/>
    <w:rsid w:val="0008732B"/>
    <w:rsid w:val="000B02C0"/>
    <w:rsid w:val="000B2E85"/>
    <w:rsid w:val="000B6C16"/>
    <w:rsid w:val="000C7007"/>
    <w:rsid w:val="000D554E"/>
    <w:rsid w:val="000F0168"/>
    <w:rsid w:val="00113F5A"/>
    <w:rsid w:val="00143DEA"/>
    <w:rsid w:val="0016648D"/>
    <w:rsid w:val="00183453"/>
    <w:rsid w:val="001B7008"/>
    <w:rsid w:val="001C5565"/>
    <w:rsid w:val="00200AF3"/>
    <w:rsid w:val="00240833"/>
    <w:rsid w:val="00246765"/>
    <w:rsid w:val="00274097"/>
    <w:rsid w:val="00287965"/>
    <w:rsid w:val="002A5BAF"/>
    <w:rsid w:val="002A60E4"/>
    <w:rsid w:val="002A63F7"/>
    <w:rsid w:val="002C15C8"/>
    <w:rsid w:val="002E6474"/>
    <w:rsid w:val="00315280"/>
    <w:rsid w:val="00355C97"/>
    <w:rsid w:val="003B2A93"/>
    <w:rsid w:val="003C4E4B"/>
    <w:rsid w:val="003D3EAA"/>
    <w:rsid w:val="003E46BF"/>
    <w:rsid w:val="00415156"/>
    <w:rsid w:val="0042133A"/>
    <w:rsid w:val="004306DD"/>
    <w:rsid w:val="00433217"/>
    <w:rsid w:val="00434D2A"/>
    <w:rsid w:val="00436C79"/>
    <w:rsid w:val="00490A70"/>
    <w:rsid w:val="004C488C"/>
    <w:rsid w:val="004C6379"/>
    <w:rsid w:val="004F1580"/>
    <w:rsid w:val="004F2BCB"/>
    <w:rsid w:val="004F2DAA"/>
    <w:rsid w:val="0051339A"/>
    <w:rsid w:val="00521EAB"/>
    <w:rsid w:val="005319DB"/>
    <w:rsid w:val="0053531B"/>
    <w:rsid w:val="00547DB9"/>
    <w:rsid w:val="0059709E"/>
    <w:rsid w:val="00597AC8"/>
    <w:rsid w:val="005A5961"/>
    <w:rsid w:val="005C0EF0"/>
    <w:rsid w:val="005D79A0"/>
    <w:rsid w:val="005E6C8E"/>
    <w:rsid w:val="0060269C"/>
    <w:rsid w:val="00610D63"/>
    <w:rsid w:val="00611DA2"/>
    <w:rsid w:val="00613EFD"/>
    <w:rsid w:val="006152AF"/>
    <w:rsid w:val="00622E87"/>
    <w:rsid w:val="00674CB2"/>
    <w:rsid w:val="006A7B4C"/>
    <w:rsid w:val="006B3574"/>
    <w:rsid w:val="006C6622"/>
    <w:rsid w:val="006D20AE"/>
    <w:rsid w:val="006D7418"/>
    <w:rsid w:val="00712585"/>
    <w:rsid w:val="00715216"/>
    <w:rsid w:val="00727A91"/>
    <w:rsid w:val="007338DE"/>
    <w:rsid w:val="00747D05"/>
    <w:rsid w:val="00756B82"/>
    <w:rsid w:val="00761B4B"/>
    <w:rsid w:val="0077736B"/>
    <w:rsid w:val="00783201"/>
    <w:rsid w:val="007C5258"/>
    <w:rsid w:val="007D4FB0"/>
    <w:rsid w:val="007D54D0"/>
    <w:rsid w:val="007E12CA"/>
    <w:rsid w:val="008061C0"/>
    <w:rsid w:val="008135AB"/>
    <w:rsid w:val="00843F68"/>
    <w:rsid w:val="00847481"/>
    <w:rsid w:val="00852510"/>
    <w:rsid w:val="00852739"/>
    <w:rsid w:val="00857168"/>
    <w:rsid w:val="00857399"/>
    <w:rsid w:val="0087768F"/>
    <w:rsid w:val="008A2F80"/>
    <w:rsid w:val="008B01CB"/>
    <w:rsid w:val="008D105B"/>
    <w:rsid w:val="008D6555"/>
    <w:rsid w:val="008F1B7C"/>
    <w:rsid w:val="008F64CE"/>
    <w:rsid w:val="00911688"/>
    <w:rsid w:val="0095031D"/>
    <w:rsid w:val="00962E4D"/>
    <w:rsid w:val="00987B11"/>
    <w:rsid w:val="009923FC"/>
    <w:rsid w:val="009A0EBE"/>
    <w:rsid w:val="009A290F"/>
    <w:rsid w:val="009A393C"/>
    <w:rsid w:val="009B010B"/>
    <w:rsid w:val="009C2211"/>
    <w:rsid w:val="009E0003"/>
    <w:rsid w:val="009E426E"/>
    <w:rsid w:val="009E529F"/>
    <w:rsid w:val="009E6F82"/>
    <w:rsid w:val="009F0136"/>
    <w:rsid w:val="009F099D"/>
    <w:rsid w:val="009F199C"/>
    <w:rsid w:val="009F6CBD"/>
    <w:rsid w:val="00A15448"/>
    <w:rsid w:val="00A17074"/>
    <w:rsid w:val="00A27217"/>
    <w:rsid w:val="00A40921"/>
    <w:rsid w:val="00A60EFB"/>
    <w:rsid w:val="00AA6E42"/>
    <w:rsid w:val="00AC0726"/>
    <w:rsid w:val="00AD073B"/>
    <w:rsid w:val="00AE4FC7"/>
    <w:rsid w:val="00AF045C"/>
    <w:rsid w:val="00B21C22"/>
    <w:rsid w:val="00B44968"/>
    <w:rsid w:val="00B56718"/>
    <w:rsid w:val="00B8032F"/>
    <w:rsid w:val="00BA4C1E"/>
    <w:rsid w:val="00BA7184"/>
    <w:rsid w:val="00BA74A2"/>
    <w:rsid w:val="00BA7C7B"/>
    <w:rsid w:val="00BB195F"/>
    <w:rsid w:val="00BB3C8C"/>
    <w:rsid w:val="00BF1FD3"/>
    <w:rsid w:val="00BF20B2"/>
    <w:rsid w:val="00C03604"/>
    <w:rsid w:val="00C050ED"/>
    <w:rsid w:val="00C52F24"/>
    <w:rsid w:val="00C56F09"/>
    <w:rsid w:val="00C57490"/>
    <w:rsid w:val="00C63E93"/>
    <w:rsid w:val="00C91ABD"/>
    <w:rsid w:val="00CC252D"/>
    <w:rsid w:val="00CD2F92"/>
    <w:rsid w:val="00CF7E10"/>
    <w:rsid w:val="00D1557C"/>
    <w:rsid w:val="00D2759A"/>
    <w:rsid w:val="00D3183C"/>
    <w:rsid w:val="00D55EE5"/>
    <w:rsid w:val="00D81A61"/>
    <w:rsid w:val="00D8503D"/>
    <w:rsid w:val="00DD7309"/>
    <w:rsid w:val="00DF5004"/>
    <w:rsid w:val="00DF5FBB"/>
    <w:rsid w:val="00E66088"/>
    <w:rsid w:val="00EA08D8"/>
    <w:rsid w:val="00EA69F7"/>
    <w:rsid w:val="00EC1046"/>
    <w:rsid w:val="00ED17BF"/>
    <w:rsid w:val="00EF5774"/>
    <w:rsid w:val="00EF65AB"/>
    <w:rsid w:val="00F179E3"/>
    <w:rsid w:val="00F3248F"/>
    <w:rsid w:val="00F34260"/>
    <w:rsid w:val="00F34B75"/>
    <w:rsid w:val="00F55CDC"/>
    <w:rsid w:val="00F57465"/>
    <w:rsid w:val="00F677B0"/>
    <w:rsid w:val="00F67DA0"/>
    <w:rsid w:val="00F9092F"/>
    <w:rsid w:val="00FB2905"/>
    <w:rsid w:val="00FC5A61"/>
    <w:rsid w:val="00FC7641"/>
    <w:rsid w:val="05071212"/>
    <w:rsid w:val="06D850CB"/>
    <w:rsid w:val="07BE332E"/>
    <w:rsid w:val="07D8656B"/>
    <w:rsid w:val="07F63046"/>
    <w:rsid w:val="0823528A"/>
    <w:rsid w:val="08713A0F"/>
    <w:rsid w:val="0AA52166"/>
    <w:rsid w:val="0B22489D"/>
    <w:rsid w:val="0CC7443F"/>
    <w:rsid w:val="0CD13E0E"/>
    <w:rsid w:val="0CF06590"/>
    <w:rsid w:val="0D7B7405"/>
    <w:rsid w:val="0E465597"/>
    <w:rsid w:val="0EA21A7D"/>
    <w:rsid w:val="133D44B1"/>
    <w:rsid w:val="14851510"/>
    <w:rsid w:val="14B72D8B"/>
    <w:rsid w:val="1578701B"/>
    <w:rsid w:val="189F6AA8"/>
    <w:rsid w:val="19052FD3"/>
    <w:rsid w:val="196958F0"/>
    <w:rsid w:val="1AC5594E"/>
    <w:rsid w:val="1D147B71"/>
    <w:rsid w:val="1E3F0FC5"/>
    <w:rsid w:val="1E776588"/>
    <w:rsid w:val="1F09595D"/>
    <w:rsid w:val="201E2D39"/>
    <w:rsid w:val="21047A31"/>
    <w:rsid w:val="21634B41"/>
    <w:rsid w:val="22672266"/>
    <w:rsid w:val="258A14A0"/>
    <w:rsid w:val="289F626E"/>
    <w:rsid w:val="29F77E51"/>
    <w:rsid w:val="2B631316"/>
    <w:rsid w:val="2DD63BBD"/>
    <w:rsid w:val="2E6D20CF"/>
    <w:rsid w:val="2EFF5CE7"/>
    <w:rsid w:val="3041042B"/>
    <w:rsid w:val="31C448A5"/>
    <w:rsid w:val="32080554"/>
    <w:rsid w:val="32A8141A"/>
    <w:rsid w:val="32C66F21"/>
    <w:rsid w:val="33044FC4"/>
    <w:rsid w:val="339676E2"/>
    <w:rsid w:val="38FF3797"/>
    <w:rsid w:val="3C886C85"/>
    <w:rsid w:val="3D0F0383"/>
    <w:rsid w:val="3E431856"/>
    <w:rsid w:val="494937F7"/>
    <w:rsid w:val="499E00E7"/>
    <w:rsid w:val="49C51CD9"/>
    <w:rsid w:val="4A1741EA"/>
    <w:rsid w:val="4A285338"/>
    <w:rsid w:val="4BDA19AF"/>
    <w:rsid w:val="4C2C4ED4"/>
    <w:rsid w:val="4C5C7E37"/>
    <w:rsid w:val="4CC84100"/>
    <w:rsid w:val="4D19213F"/>
    <w:rsid w:val="4E346BDA"/>
    <w:rsid w:val="4EB95C9B"/>
    <w:rsid w:val="4F73064B"/>
    <w:rsid w:val="50763C6A"/>
    <w:rsid w:val="53625615"/>
    <w:rsid w:val="53A974C7"/>
    <w:rsid w:val="545C62BC"/>
    <w:rsid w:val="55BE58B2"/>
    <w:rsid w:val="55D41F37"/>
    <w:rsid w:val="56B94894"/>
    <w:rsid w:val="56FB1400"/>
    <w:rsid w:val="599B59E9"/>
    <w:rsid w:val="5A6A2766"/>
    <w:rsid w:val="5EE43DD9"/>
    <w:rsid w:val="5F334408"/>
    <w:rsid w:val="61FF61C7"/>
    <w:rsid w:val="63617890"/>
    <w:rsid w:val="6378092F"/>
    <w:rsid w:val="63C52259"/>
    <w:rsid w:val="64595C52"/>
    <w:rsid w:val="65350B20"/>
    <w:rsid w:val="65DA633C"/>
    <w:rsid w:val="682A1EB3"/>
    <w:rsid w:val="68732645"/>
    <w:rsid w:val="6AF30142"/>
    <w:rsid w:val="6AFF4EB4"/>
    <w:rsid w:val="6BC76FFE"/>
    <w:rsid w:val="6E306509"/>
    <w:rsid w:val="70080E28"/>
    <w:rsid w:val="70893D52"/>
    <w:rsid w:val="715D27CE"/>
    <w:rsid w:val="718E2D69"/>
    <w:rsid w:val="71F213D5"/>
    <w:rsid w:val="76315C19"/>
    <w:rsid w:val="77164FCE"/>
    <w:rsid w:val="782E6ACB"/>
    <w:rsid w:val="78DB6D0F"/>
    <w:rsid w:val="799D59C4"/>
    <w:rsid w:val="7CBA206A"/>
    <w:rsid w:val="7DBB38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7"/>
    <w:unhideWhenUsed/>
    <w:qFormat/>
    <w:uiPriority w:val="0"/>
    <w:pPr>
      <w:tabs>
        <w:tab w:val="left" w:pos="3255"/>
      </w:tabs>
    </w:pPr>
    <w:rPr>
      <w:rFonts w:ascii="Times New Roman" w:hAnsi="Times New Roman" w:eastAsia="宋体" w:cs="Times New Roman"/>
      <w:b/>
      <w:bCs/>
      <w:sz w:val="32"/>
      <w:szCs w:val="24"/>
    </w:r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unhideWhenUsed/>
    <w:uiPriority w:val="99"/>
    <w:rPr>
      <w:color w:val="800080"/>
      <w:u w:val="none"/>
    </w:rPr>
  </w:style>
  <w:style w:type="character" w:styleId="9">
    <w:name w:val="Hyperlink"/>
    <w:basedOn w:val="7"/>
    <w:unhideWhenUsed/>
    <w:uiPriority w:val="99"/>
    <w:rPr>
      <w:color w:val="0000FF"/>
      <w:u w:val="none"/>
    </w:rPr>
  </w:style>
  <w:style w:type="character" w:customStyle="1" w:styleId="11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5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4"/>
    <w:semiHidden/>
    <w:qFormat/>
    <w:uiPriority w:val="99"/>
    <w:rPr>
      <w:sz w:val="18"/>
      <w:szCs w:val="18"/>
    </w:rPr>
  </w:style>
  <w:style w:type="character" w:customStyle="1" w:styleId="14">
    <w:name w:val="日期 Char"/>
    <w:basedOn w:val="7"/>
    <w:link w:val="3"/>
    <w:semiHidden/>
    <w:qFormat/>
    <w:uiPriority w:val="99"/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paragraph" w:styleId="16">
    <w:name w:val="List Paragraph"/>
    <w:basedOn w:val="1"/>
    <w:unhideWhenUsed/>
    <w:uiPriority w:val="99"/>
    <w:pPr>
      <w:ind w:firstLine="420" w:firstLineChars="200"/>
    </w:pPr>
  </w:style>
  <w:style w:type="character" w:customStyle="1" w:styleId="17">
    <w:name w:val="正文文本 Char"/>
    <w:basedOn w:val="7"/>
    <w:link w:val="2"/>
    <w:uiPriority w:val="0"/>
    <w:rPr>
      <w:b/>
      <w:bCs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586</Words>
  <Characters>3342</Characters>
  <Lines>27</Lines>
  <Paragraphs>7</Paragraphs>
  <ScaleCrop>false</ScaleCrop>
  <LinksUpToDate>false</LinksUpToDate>
  <CharactersWithSpaces>3921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2017-09-08T13:53:00Z</dcterms:created>
  <dc:creator>wushengyong</dc:creator>
  <cp:lastModifiedBy>D969ZT2X</cp:lastModifiedBy>
  <cp:lastPrinted>2018-03-14T04:42:00Z</cp:lastPrinted>
  <dcterms:modified xsi:type="dcterms:W3CDTF">2018-03-30T06:39:03Z</dcterms:modified>
  <cp:revision>127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